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500550</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 Greece, 17th-21st Feb,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7.26.3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After the discussion in RAN4#113 meeting, there are still many controversial issues left. In this contribution, we continue to discuss the BS requirements for LP-WUS/LP-WUR.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Power Boosting of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In last meeting, RAN4 achieved an agreement that the definition of LP-WUS power boosting from NB-IoT can be used as starting point, but there was still some issues left as follows to study whether other cases can be additionally considered, how to deal with de-boosting on the NR transmission power and how to define core requirement for LP-WUS power boosting[1].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5"/>
              <w:keepNext/>
              <w:keepLines/>
              <w:pageBreakBefore w:val="0"/>
              <w:widowControl/>
              <w:kinsoku/>
              <w:wordWrap/>
              <w:overflowPunct/>
              <w:topLinePunct w:val="0"/>
              <w:autoSpaceDE/>
              <w:autoSpaceDN/>
              <w:bidi w:val="0"/>
              <w:adjustRightInd/>
              <w:snapToGrid w:val="0"/>
              <w:spacing w:before="0" w:after="120" w:line="240" w:lineRule="auto"/>
              <w:ind w:left="1417" w:hanging="1417"/>
              <w:textAlignment w:val="auto"/>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1-1: Concept of LP-WUS power boosting</w:t>
            </w:r>
          </w:p>
          <w:p>
            <w:pPr>
              <w:pStyle w:val="31"/>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ind w:left="37" w:left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Adhoc WF</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800" w:leftChars="0" w:hanging="363" w:firstLineChars="0"/>
              <w:jc w:val="both"/>
              <w:textAlignment w:val="auto"/>
              <w:rPr>
                <w:rFonts w:hint="default" w:ascii="Times New Roman" w:hAnsi="Times New Roman" w:eastAsia="宋体" w:cs="Times New Roman"/>
                <w:iCs/>
                <w:color w:val="000000" w:themeColor="text1"/>
                <w:sz w:val="20"/>
                <w:szCs w:val="20"/>
                <w:lang w:eastAsia="zh-CN"/>
                <w14:textFill>
                  <w14:solidFill>
                    <w14:schemeClr w14:val="tx1"/>
                  </w14:solidFill>
                </w14:textFill>
              </w:rPr>
            </w:pPr>
            <w:r>
              <w:rPr>
                <w:rFonts w:hint="default" w:ascii="Times New Roman" w:hAnsi="Times New Roman" w:eastAsia="宋体" w:cs="Times New Roman"/>
                <w:iCs/>
                <w:color w:val="000000" w:themeColor="text1"/>
                <w:sz w:val="20"/>
                <w:szCs w:val="20"/>
                <w:lang w:eastAsia="zh-CN"/>
                <w14:textFill>
                  <w14:solidFill>
                    <w14:schemeClr w14:val="tx1"/>
                  </w14:solidFill>
                </w14:textFill>
              </w:rPr>
              <w:t xml:space="preserve">“The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 </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200" w:leftChars="0" w:hanging="363" w:firstLineChars="0"/>
              <w:jc w:val="both"/>
              <w:textAlignment w:val="auto"/>
              <w:rPr>
                <w:rFonts w:hint="default" w:ascii="Times New Roman" w:hAnsi="Times New Roman" w:cs="Times New Roman"/>
                <w:bCs/>
                <w:i w:val="0"/>
                <w:iCs w:val="0"/>
                <w:color w:val="auto"/>
                <w:kern w:val="0"/>
                <w:sz w:val="20"/>
                <w:szCs w:val="20"/>
                <w:highlight w:val="none"/>
                <w:vertAlign w:val="baseline"/>
                <w:lang w:val="en-US" w:eastAsia="zh-CN"/>
              </w:rPr>
            </w:pPr>
            <w:r>
              <w:rPr>
                <w:rFonts w:hint="default" w:ascii="Times New Roman" w:hAnsi="Times New Roman" w:eastAsia="宋体" w:cs="Times New Roman"/>
                <w:iCs/>
                <w:color w:val="000000" w:themeColor="text1"/>
                <w:sz w:val="20"/>
                <w:szCs w:val="20"/>
                <w:lang w:eastAsia="zh-CN"/>
                <w14:textFill>
                  <w14:solidFill>
                    <w14:schemeClr w14:val="tx1"/>
                  </w14:solidFill>
                </w14:textFill>
              </w:rPr>
              <w:t>FFS whether other cases can be additionally considered. E.g., single value declaration.</w:t>
            </w:r>
          </w:p>
          <w:p>
            <w:pPr>
              <w:pStyle w:val="5"/>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1-2: How to comprehend the de-boost on the NR transmission power</w:t>
            </w:r>
          </w:p>
          <w:p>
            <w:pPr>
              <w:pStyle w:val="31"/>
              <w:pageBreakBefore w:val="0"/>
              <w:numPr>
                <w:ilvl w:val="0"/>
                <w:numId w:val="4"/>
              </w:numPr>
              <w:kinsoku/>
              <w:wordWrap/>
              <w:overflowPunct/>
              <w:topLinePunct w:val="0"/>
              <w:autoSpaceDE/>
              <w:autoSpaceDN/>
              <w:bidi w:val="0"/>
              <w:adjustRightInd/>
              <w:snapToGrid w:val="0"/>
              <w:spacing w:after="120" w:line="240" w:lineRule="auto"/>
              <w:ind w:left="4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WF</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Consider the de-boosting behaviour together with other relevant issues</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Companies are encouraged to think about the draft spec language to reflect corresponding proposals</w:t>
            </w:r>
          </w:p>
          <w:p>
            <w:pPr>
              <w:pStyle w:val="5"/>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1-3: Core requirement for LP-WUS power boosting</w:t>
            </w:r>
          </w:p>
          <w:p>
            <w:pPr>
              <w:pStyle w:val="31"/>
              <w:pageBreakBefore w:val="0"/>
              <w:numPr>
                <w:ilvl w:val="0"/>
                <w:numId w:val="4"/>
              </w:numPr>
              <w:kinsoku/>
              <w:wordWrap/>
              <w:overflowPunct/>
              <w:topLinePunct w:val="0"/>
              <w:autoSpaceDE/>
              <w:autoSpaceDN/>
              <w:bidi w:val="0"/>
              <w:adjustRightInd/>
              <w:snapToGrid w:val="0"/>
              <w:spacing w:after="120" w:line="240" w:lineRule="auto"/>
              <w:ind w:left="4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WF</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FFS the following options</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1: Leave the power boosting level to manufacturer declaration</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2: If the manufacturer declares power boosting, the minimum LP-WUS power boosting level should be X (&gt;0) dB for Y MHz CBW</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color w:val="000000" w:themeColor="text1"/>
                <w:sz w:val="20"/>
                <w:szCs w:val="20"/>
                <w:lang w:eastAsia="zh-CN"/>
                <w14:textFill>
                  <w14:solidFill>
                    <w14:schemeClr w14:val="tx1"/>
                  </w14:solidFill>
                </w14:textFill>
              </w:rPr>
              <w:t>Other options are not precluded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In our understanding, with the above agreed definition, manufacturers are allowed to declare different power boosting level for different CBW, while for single value declaration, minimal supported CBW of this boosting level needs to be declared together. But w</w:t>
      </w:r>
      <w:bookmarkStart w:id="0" w:name="_GoBack"/>
      <w:bookmarkEnd w:id="0"/>
      <w:r>
        <w:rPr>
          <w:rFonts w:hint="eastAsia"/>
          <w:bCs/>
          <w:i w:val="0"/>
          <w:iCs w:val="0"/>
          <w:color w:val="auto"/>
          <w:kern w:val="0"/>
          <w:sz w:val="20"/>
          <w:szCs w:val="20"/>
          <w:highlight w:val="none"/>
          <w:vertAlign w:val="baseline"/>
          <w:lang w:val="en-US" w:eastAsia="zh-CN"/>
        </w:rPr>
        <w:t>e don</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t think there is essential difference to declare different boosting levels for different CBW and to declare a single boosting value, because with each declaration method, one single CBW corresponds to one single boosting level. With legacy dynamic range based definition, single value declaration can also be supported. In this case, single value declaration in the sub-bullet can be regarded as a special case of the main bullet. Thus, the definition in main bullet is enough to cover all the cases. Besides, we prefer to leave the LP-WUS power boosting level to manufacturer declaration.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As for how to comprehend the de-boosting on the NR RBs, we prefer not to reflect it in current spec because it depends on implementation and network configuration. It is possible to degrade the power of NR signal, or reduce the number of NR RBs to maintain original PSD, or any other methods.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Define LP-WUS power boosting as: </w:t>
      </w:r>
      <w:r>
        <w:rPr>
          <w:rFonts w:hint="default"/>
          <w:b/>
          <w:bCs w:val="0"/>
          <w:i w:val="0"/>
          <w:iCs w:val="0"/>
          <w:color w:val="auto"/>
          <w:kern w:val="0"/>
          <w:sz w:val="20"/>
          <w:szCs w:val="20"/>
          <w:highlight w:val="none"/>
          <w:vertAlign w:val="baseline"/>
          <w:lang w:val="en-US" w:eastAsia="zh-CN"/>
        </w:rPr>
        <w:t>The LP-WUS power boosting is the difference between the average power of LP-WUS REs (which occupy certain REs within a NR transmission bandwidth configuration) and the average power over all REs (from both LP-WUS and the NR carrier containing the LP-WUS REs).</w:t>
      </w:r>
      <w:r>
        <w:rPr>
          <w:rFonts w:hint="eastAsia"/>
          <w:b/>
          <w:bCs w:val="0"/>
          <w:i w:val="0"/>
          <w:iCs w:val="0"/>
          <w:color w:val="auto"/>
          <w:kern w:val="0"/>
          <w:sz w:val="20"/>
          <w:szCs w:val="20"/>
          <w:highlight w:val="none"/>
          <w:vertAlign w:val="baseline"/>
          <w:lang w:val="en-US" w:eastAsia="zh-CN"/>
        </w:rPr>
        <w:t xml:space="preserve"> No other cases need to be considered.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Leave the LP-WUS power boosting level to manufacturer declaration.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There is no need to reflect how to comprehend NR power de-boosting in current spec.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Other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Except power boosting, there are some other requirements needs to be considered. LP-WUS is transmitted by existing OFDM transmission system, some existing requirements should be considered. It has been agreed that existing </w:t>
      </w:r>
      <w:r>
        <w:rPr>
          <w:rFonts w:hint="eastAsia"/>
          <w:lang w:val="en-US" w:eastAsia="zh-CN"/>
        </w:rPr>
        <w:t xml:space="preserve">regulation relevant spectrum requirements should be satisfied. </w:t>
      </w:r>
      <w:r>
        <w:rPr>
          <w:rFonts w:hint="eastAsia" w:cs="Times New Roman"/>
          <w:b w:val="0"/>
          <w:bCs w:val="0"/>
          <w:i w:val="0"/>
          <w:iCs w:val="0"/>
          <w:sz w:val="20"/>
          <w:szCs w:val="20"/>
          <w:highlight w:val="none"/>
          <w:lang w:val="en-US" w:eastAsia="zh-CN"/>
        </w:rPr>
        <w:t>Whether transmit signal quality should be defined and whether equivalent EVM requirements should be defined are still under discussion [1].</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394" w:hRule="atLeast"/>
          <w:jc w:val="center"/>
        </w:trPr>
        <w:tc>
          <w:tcPr>
            <w:tcW w:w="9060" w:type="dxa"/>
            <w:shd w:val="clear" w:color="auto" w:fill="FFFFFF" w:themeFill="background1"/>
          </w:tcPr>
          <w:p>
            <w:pPr>
              <w:pStyle w:val="5"/>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1-6: General consideration on other requirements</w:t>
            </w:r>
          </w:p>
          <w:p>
            <w:pPr>
              <w:pStyle w:val="31"/>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ind w:left="37" w:left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Adhoc WF</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Discuss on whether transmit signal quality should be defined</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FFS whether equivalent EVM requirement could be considered</w:t>
            </w:r>
          </w:p>
          <w:p>
            <w:pPr>
              <w:pStyle w:val="31"/>
              <w:pageBreakBefore w:val="0"/>
              <w:numPr>
                <w:ilvl w:val="3"/>
                <w:numId w:val="4"/>
              </w:numPr>
              <w:kinsoku/>
              <w:wordWrap/>
              <w:overflowPunct/>
              <w:topLinePunct w:val="0"/>
              <w:autoSpaceDE/>
              <w:autoSpaceDN/>
              <w:bidi w:val="0"/>
              <w:adjustRightInd/>
              <w:snapToGrid w:val="0"/>
              <w:spacing w:after="120" w:line="240" w:lineRule="auto"/>
              <w:ind w:left="1600" w:leftChars="0" w:hanging="36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E.g. NR needs to pass 64QAM EVM test with LP-WUS embedded in the NR carrier</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color w:val="000000" w:themeColor="text1"/>
                <w:sz w:val="20"/>
                <w:szCs w:val="20"/>
                <w:lang w:eastAsia="zh-CN"/>
                <w14:textFill>
                  <w14:solidFill>
                    <w14:schemeClr w14:val="tx1"/>
                  </w14:solidFill>
                </w14:textFill>
              </w:rPr>
              <w:t>FFS whether no other new RF requirements than the dynamic range or potential transmit quality requirement identified for LP-WUS</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Traditional Tx EVM is tested based on frequency-domain constellations. For LP-WUS, the symbols before RB mapping can be regarded as constellations. We added EVM on the LP-WUS frequency-domain symbols before RB mapping, as shown in Fig. 1 and Fig. 2, and then check the impact of EVM to Rx MDR. The simulation result is shown in Fig. 3. It can be found that frequency-domain EVM on LP-WUS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has minor impact on the receiving MDR.</w:t>
      </w:r>
    </w:p>
    <w:p>
      <w:pPr>
        <w:keepNext w:val="0"/>
        <w:keepLines w:val="0"/>
        <w:widowControl/>
        <w:suppressLineNumbers w:val="0"/>
        <w:jc w:val="center"/>
        <w:rPr>
          <w:rFonts w:hint="eastAsia" w:cs="Times New Roman"/>
          <w:b/>
          <w:bCs/>
          <w:i w:val="0"/>
          <w:iCs w:val="0"/>
          <w:sz w:val="20"/>
          <w:szCs w:val="20"/>
          <w:highlight w:val="none"/>
          <w:lang w:val="en-US" w:eastAsia="zh-CN"/>
        </w:rPr>
      </w:pPr>
      <w:r>
        <w:rPr>
          <w:rFonts w:ascii="宋体" w:hAnsi="宋体" w:eastAsia="宋体" w:cs="宋体"/>
          <w:kern w:val="0"/>
          <w:sz w:val="24"/>
          <w:szCs w:val="24"/>
          <w:lang w:val="en-US" w:eastAsia="zh-CN" w:bidi="ar"/>
        </w:rPr>
        <w:drawing>
          <wp:inline distT="0" distB="0" distL="114300" distR="114300">
            <wp:extent cx="5149850" cy="1374140"/>
            <wp:effectExtent l="0" t="0" r="1270" b="1270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5149850" cy="137414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Add EVM to LP-WUS frequency-domain symbols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pPr>
      <w:r>
        <w:drawing>
          <wp:inline distT="0" distB="0" distL="114300" distR="114300">
            <wp:extent cx="2644775" cy="2160270"/>
            <wp:effectExtent l="0" t="0" r="6985" b="38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2644775" cy="2160270"/>
                    </a:xfrm>
                    <a:prstGeom prst="rect">
                      <a:avLst/>
                    </a:prstGeom>
                    <a:noFill/>
                    <a:ln>
                      <a:noFill/>
                    </a:ln>
                  </pic:spPr>
                </pic:pic>
              </a:graphicData>
            </a:graphic>
          </wp:inline>
        </w:drawing>
      </w:r>
      <w:r>
        <w:drawing>
          <wp:inline distT="0" distB="0" distL="114300" distR="114300">
            <wp:extent cx="2637155" cy="2153920"/>
            <wp:effectExtent l="0" t="0" r="14605" b="1016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9"/>
                    <a:stretch>
                      <a:fillRect/>
                    </a:stretch>
                  </pic:blipFill>
                  <pic:spPr>
                    <a:xfrm>
                      <a:off x="0" y="0"/>
                      <a:ext cx="2637155" cy="215392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pPr>
      <w:r>
        <w:drawing>
          <wp:inline distT="0" distB="0" distL="114300" distR="114300">
            <wp:extent cx="2651125" cy="2147570"/>
            <wp:effectExtent l="0" t="0" r="635" b="127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0"/>
                    <a:stretch>
                      <a:fillRect/>
                    </a:stretch>
                  </pic:blipFill>
                  <pic:spPr>
                    <a:xfrm>
                      <a:off x="0" y="0"/>
                      <a:ext cx="2651125" cy="2147570"/>
                    </a:xfrm>
                    <a:prstGeom prst="rect">
                      <a:avLst/>
                    </a:prstGeom>
                    <a:noFill/>
                    <a:ln>
                      <a:noFill/>
                    </a:ln>
                  </pic:spPr>
                </pic:pic>
              </a:graphicData>
            </a:graphic>
          </wp:inline>
        </w:drawing>
      </w:r>
      <w:r>
        <w:drawing>
          <wp:inline distT="0" distB="0" distL="114300" distR="114300">
            <wp:extent cx="2627630" cy="2146300"/>
            <wp:effectExtent l="0" t="0" r="8890" b="254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1"/>
                    <a:stretch>
                      <a:fillRect/>
                    </a:stretch>
                  </pic:blipFill>
                  <pic:spPr>
                    <a:xfrm>
                      <a:off x="0" y="0"/>
                      <a:ext cx="2627630" cy="21463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lang w:val="en-US" w:eastAsia="zh-CN"/>
        </w:rPr>
      </w:pPr>
      <w:r>
        <w:rPr>
          <w:rFonts w:hint="eastAsia" w:cs="Times New Roman"/>
          <w:b/>
          <w:bCs/>
          <w:i w:val="0"/>
          <w:iCs w:val="0"/>
          <w:sz w:val="20"/>
          <w:szCs w:val="20"/>
          <w:highlight w:val="none"/>
          <w:lang w:val="en-US" w:eastAsia="zh-CN"/>
        </w:rPr>
        <w:t>Fig. 2  Different EVM on OOK-4 M=4 LP-WUS frequency-domain symbols</w:t>
      </w:r>
    </w:p>
    <w:p>
      <w:pPr>
        <w:keepNext w:val="0"/>
        <w:keepLines w:val="0"/>
        <w:widowControl/>
        <w:suppressLineNumbers w:val="0"/>
        <w:jc w:val="center"/>
      </w:pPr>
      <w:r>
        <w:drawing>
          <wp:inline distT="0" distB="0" distL="114300" distR="114300">
            <wp:extent cx="3178175" cy="2320925"/>
            <wp:effectExtent l="0" t="0" r="6985" b="1079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2"/>
                    <a:stretch>
                      <a:fillRect/>
                    </a:stretch>
                  </pic:blipFill>
                  <pic:spPr>
                    <a:xfrm>
                      <a:off x="0" y="0"/>
                      <a:ext cx="3178175" cy="23209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3  Impact of EVM on OOK-4 M=4 receiving MDR for OOK-based receiver and OFDM-based receiver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b/>
          <w:bCs/>
          <w:lang w:val="en-US" w:eastAsia="zh-CN"/>
        </w:rPr>
        <w:t>Observation 1: F</w:t>
      </w:r>
      <w:r>
        <w:rPr>
          <w:rFonts w:hint="eastAsia" w:cs="Times New Roman"/>
          <w:b/>
          <w:bCs/>
          <w:i w:val="0"/>
          <w:iCs w:val="0"/>
          <w:sz w:val="20"/>
          <w:szCs w:val="20"/>
          <w:highlight w:val="none"/>
          <w:lang w:val="en-US" w:eastAsia="zh-CN"/>
        </w:rPr>
        <w:t xml:space="preserve">requency-domain EVM on LP-WUS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constellations</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has minor impact on the receiving MDR.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we talk about time-domain EVM requirements similar to that for A-IoT as we discussed in out previous discussion papers[2]. W</w:t>
      </w:r>
      <w:r>
        <w:rPr>
          <w:rFonts w:hint="eastAsia" w:cs="Times New Roman"/>
          <w:b w:val="0"/>
          <w:bCs w:val="0"/>
          <w:i w:val="0"/>
          <w:iCs w:val="0"/>
          <w:strike w:val="0"/>
          <w:dstrike w:val="0"/>
          <w:sz w:val="20"/>
          <w:szCs w:val="20"/>
          <w:highlight w:val="none"/>
          <w:lang w:val="en-US" w:eastAsia="zh-CN"/>
        </w:rPr>
        <w:t xml:space="preserve">e were considering whether the modulation depth from A-IoT can be used as transmitted signal quality for LP-WUS. </w:t>
      </w:r>
      <w:r>
        <w:rPr>
          <w:rFonts w:hint="eastAsia" w:cs="Times New Roman"/>
          <w:b w:val="0"/>
          <w:bCs w:val="0"/>
          <w:i w:val="0"/>
          <w:iCs w:val="0"/>
          <w:sz w:val="20"/>
          <w:szCs w:val="20"/>
          <w:highlight w:val="none"/>
          <w:lang w:val="en-US" w:eastAsia="zh-CN"/>
        </w:rPr>
        <w:t>But t</w:t>
      </w:r>
      <w:r>
        <w:rPr>
          <w:rFonts w:hint="eastAsia" w:cs="Times New Roman"/>
          <w:b w:val="0"/>
          <w:bCs w:val="0"/>
          <w:i w:val="0"/>
          <w:iCs w:val="0"/>
          <w:strike w:val="0"/>
          <w:dstrike w:val="0"/>
          <w:sz w:val="20"/>
          <w:szCs w:val="20"/>
          <w:highlight w:val="none"/>
          <w:lang w:val="en-US" w:eastAsia="zh-CN"/>
        </w:rPr>
        <w:t>he waveform generation methods of pure LP-WUS and A-IoT are not completely same, which results in different time-domain signal characteristics as shown in Fig. 4. After further study, this metric may not make sense if the LP-WUS is transmitted together with NR signal. The time-domain waveform of the mixed signal is much more complex.</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pPr>
      <w:r>
        <w:drawing>
          <wp:inline distT="0" distB="0" distL="114300" distR="114300">
            <wp:extent cx="3873500" cy="1653540"/>
            <wp:effectExtent l="0" t="0" r="12700" b="762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13"/>
                    <a:stretch>
                      <a:fillRect/>
                    </a:stretch>
                  </pic:blipFill>
                  <pic:spPr>
                    <a:xfrm>
                      <a:off x="0" y="0"/>
                      <a:ext cx="3873500" cy="1653540"/>
                    </a:xfrm>
                    <a:prstGeom prst="rect">
                      <a:avLst/>
                    </a:prstGeom>
                    <a:noFill/>
                    <a:ln>
                      <a:noFill/>
                    </a:ln>
                  </pic:spPr>
                </pic:pic>
              </a:graphicData>
            </a:graphic>
          </wp:inline>
        </w:drawing>
      </w:r>
      <w:r>
        <w:drawing>
          <wp:inline distT="0" distB="0" distL="114300" distR="114300">
            <wp:extent cx="3877310" cy="1544320"/>
            <wp:effectExtent l="0" t="0" r="8890" b="1016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4"/>
                    <a:stretch>
                      <a:fillRect/>
                    </a:stretch>
                  </pic:blipFill>
                  <pic:spPr>
                    <a:xfrm>
                      <a:off x="0" y="0"/>
                      <a:ext cx="3877310" cy="1544320"/>
                    </a:xfrm>
                    <a:prstGeom prst="rect">
                      <a:avLst/>
                    </a:prstGeom>
                    <a:noFill/>
                    <a:ln>
                      <a:noFill/>
                    </a:ln>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eastAsia="宋体"/>
          <w:b/>
          <w:bCs/>
          <w:lang w:val="en-US" w:eastAsia="zh-CN"/>
        </w:rPr>
      </w:pPr>
      <w:r>
        <w:rPr>
          <w:rFonts w:hint="eastAsia" w:eastAsia="宋体"/>
          <w:b/>
          <w:bCs/>
          <w:lang w:val="en-US" w:eastAsia="zh-CN"/>
        </w:rPr>
        <w:t>Fig. 4  The difference between time-domain signals of LP-WUS and A-IoT (2 OFDM symbols with CP)</w:t>
      </w:r>
    </w:p>
    <w:p>
      <w:pPr>
        <w:keepNext w:val="0"/>
        <w:keepLines w:val="0"/>
        <w:widowControl/>
        <w:suppressLineNumbers w:val="0"/>
        <w:jc w:val="both"/>
        <w:rPr>
          <w:rFonts w:hint="default"/>
          <w:b/>
          <w:bCs/>
          <w:highlight w:val="yellow"/>
          <w:lang w:val="en-US" w:eastAsia="zh-CN"/>
        </w:rPr>
      </w:pPr>
      <w:r>
        <w:rPr>
          <w:rFonts w:hint="eastAsia" w:cs="Times New Roman"/>
          <w:b w:val="0"/>
          <w:bCs w:val="0"/>
          <w:i w:val="0"/>
          <w:iCs w:val="0"/>
          <w:strike w:val="0"/>
          <w:dstrike w:val="0"/>
          <w:sz w:val="20"/>
          <w:szCs w:val="20"/>
          <w:highlight w:val="none"/>
          <w:lang w:val="en-US" w:eastAsia="zh-CN"/>
        </w:rPr>
        <w:t>Therefore, we</w:t>
      </w:r>
      <w:r>
        <w:rPr>
          <w:rFonts w:hint="default" w:cs="Times New Roman"/>
          <w:b w:val="0"/>
          <w:bCs w:val="0"/>
          <w:i w:val="0"/>
          <w:iCs w:val="0"/>
          <w:strike w:val="0"/>
          <w:dstrike w:val="0"/>
          <w:sz w:val="20"/>
          <w:szCs w:val="20"/>
          <w:highlight w:val="none"/>
          <w:lang w:val="en-US" w:eastAsia="zh-CN"/>
        </w:rPr>
        <w:t>’</w:t>
      </w:r>
      <w:r>
        <w:rPr>
          <w:rFonts w:hint="eastAsia" w:cs="Times New Roman"/>
          <w:b w:val="0"/>
          <w:bCs w:val="0"/>
          <w:i w:val="0"/>
          <w:iCs w:val="0"/>
          <w:strike w:val="0"/>
          <w:dstrike w:val="0"/>
          <w:sz w:val="20"/>
          <w:szCs w:val="20"/>
          <w:highlight w:val="none"/>
          <w:lang w:val="en-US" w:eastAsia="zh-CN"/>
        </w:rPr>
        <w:t>d like to FFS whether there is no need to define EVM requirement for LP-WUS.</w:t>
      </w:r>
    </w:p>
    <w:p>
      <w:pPr>
        <w:keepNext w:val="0"/>
        <w:keepLines w:val="0"/>
        <w:widowControl/>
        <w:suppressLineNumbers w:val="0"/>
        <w:jc w:val="both"/>
        <w:rPr>
          <w:rFonts w:hint="default" w:cs="Times New Roman"/>
          <w:b/>
          <w:bCs/>
          <w:i w:val="0"/>
          <w:iCs w:val="0"/>
          <w:sz w:val="20"/>
          <w:szCs w:val="20"/>
          <w:highlight w:val="none"/>
          <w:lang w:val="en-US" w:eastAsia="zh-CN"/>
        </w:rPr>
      </w:pPr>
      <w:r>
        <w:rPr>
          <w:rFonts w:hint="eastAsia"/>
          <w:b/>
          <w:bCs/>
          <w:highlight w:val="none"/>
          <w:lang w:val="en-US" w:eastAsia="zh-CN"/>
        </w:rPr>
        <w:t>Proposal 4: FFS whether there is no need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Define LP-WUS power boosting as: </w:t>
      </w:r>
      <w:r>
        <w:rPr>
          <w:rFonts w:hint="default"/>
          <w:b/>
          <w:bCs w:val="0"/>
          <w:i w:val="0"/>
          <w:iCs w:val="0"/>
          <w:color w:val="auto"/>
          <w:kern w:val="0"/>
          <w:sz w:val="20"/>
          <w:szCs w:val="20"/>
          <w:highlight w:val="none"/>
          <w:vertAlign w:val="baseline"/>
          <w:lang w:val="en-US" w:eastAsia="zh-CN"/>
        </w:rPr>
        <w:t>The LP-WUS power boosting is the difference between the average power of LP-WUS REs (which occupy certain REs within a NR transmission bandwidth configuration) and the average power over all REs (from both LP-WUS and the NR carrier containing the LP-WUS REs).</w:t>
      </w:r>
      <w:r>
        <w:rPr>
          <w:rFonts w:hint="eastAsia"/>
          <w:b/>
          <w:bCs w:val="0"/>
          <w:i w:val="0"/>
          <w:iCs w:val="0"/>
          <w:color w:val="auto"/>
          <w:kern w:val="0"/>
          <w:sz w:val="20"/>
          <w:szCs w:val="20"/>
          <w:highlight w:val="none"/>
          <w:vertAlign w:val="baseline"/>
          <w:lang w:val="en-US" w:eastAsia="zh-CN"/>
        </w:rPr>
        <w:t xml:space="preserve"> No other cases need to be considered.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cs="Times New Roman"/>
          <w:b/>
          <w:bCs/>
          <w:i w:val="0"/>
          <w:iCs w:val="0"/>
          <w:sz w:val="20"/>
          <w:szCs w:val="20"/>
          <w:highlight w:val="none"/>
          <w:lang w:val="en-US" w:eastAsia="zh-CN"/>
        </w:rPr>
        <w:t>Proposal 2: Leave the LP-WUS power boosting level to manufacturer declaration.</w:t>
      </w:r>
      <w:r>
        <w:rPr>
          <w:rFonts w:hint="eastAsia"/>
          <w:b/>
          <w:bCs w:val="0"/>
          <w:i w:val="0"/>
          <w:iCs w:val="0"/>
          <w:color w:val="auto"/>
          <w:kern w:val="0"/>
          <w:sz w:val="20"/>
          <w:szCs w:val="20"/>
          <w:highlight w:val="none"/>
          <w:vertAlign w:val="baseline"/>
          <w:lang w:val="en-US" w:eastAsia="zh-CN"/>
        </w:rPr>
        <w:t xml:space="preserve">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cs="Times New Roman"/>
          <w:b/>
          <w:bCs/>
          <w:i w:val="0"/>
          <w:iCs w:val="0"/>
          <w:sz w:val="20"/>
          <w:szCs w:val="20"/>
          <w:highlight w:val="none"/>
          <w:lang w:val="en-US" w:eastAsia="zh-CN"/>
        </w:rPr>
        <w:t>Proposal 3: There is no need to reflect how to comprehend NR power de-boosting in current spec.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b/>
          <w:bCs/>
          <w:lang w:val="en-US" w:eastAsia="zh-CN"/>
        </w:rPr>
        <w:t>Observation 1: F</w:t>
      </w:r>
      <w:r>
        <w:rPr>
          <w:rFonts w:hint="eastAsia" w:cs="Times New Roman"/>
          <w:b/>
          <w:bCs/>
          <w:i w:val="0"/>
          <w:iCs w:val="0"/>
          <w:sz w:val="20"/>
          <w:szCs w:val="20"/>
          <w:highlight w:val="none"/>
          <w:lang w:val="en-US" w:eastAsia="zh-CN"/>
        </w:rPr>
        <w:t xml:space="preserve">requency-domain EVM on LP-WUS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constellations</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has minor impact on the receiving MDR.</w:t>
      </w:r>
    </w:p>
    <w:p>
      <w:pPr>
        <w:keepNext w:val="0"/>
        <w:keepLines w:val="0"/>
        <w:widowControl/>
        <w:suppressLineNumbers w:val="0"/>
        <w:jc w:val="both"/>
        <w:rPr>
          <w:rFonts w:hint="eastAsia"/>
          <w:b/>
          <w:bCs w:val="0"/>
          <w:i w:val="0"/>
          <w:iCs w:val="0"/>
          <w:color w:val="auto"/>
          <w:kern w:val="0"/>
          <w:sz w:val="20"/>
          <w:szCs w:val="20"/>
          <w:highlight w:val="none"/>
          <w:vertAlign w:val="baseline"/>
          <w:lang w:val="en-US" w:eastAsia="zh-CN"/>
        </w:rPr>
      </w:pPr>
      <w:r>
        <w:rPr>
          <w:rFonts w:hint="eastAsia"/>
          <w:b/>
          <w:bCs/>
          <w:lang w:val="en-US" w:eastAsia="zh-CN"/>
        </w:rPr>
        <w:t>Proposal 4: FFS whether there is no need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R4-2419802 WF For [113][308] NR_LPWUS, RAN4#113, Orlando, USA, Nov. 2024.</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R4-2418827 Discussion on BS RF requirements for LP-WUS/WUR, RAN4#113, Orlando, USA, Nov. 2024.</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4C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5D64"/>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A05508"/>
    <w:rsid w:val="03AB67DC"/>
    <w:rsid w:val="03AD2FC5"/>
    <w:rsid w:val="03B76035"/>
    <w:rsid w:val="03B82CC7"/>
    <w:rsid w:val="03C77456"/>
    <w:rsid w:val="03CB41C8"/>
    <w:rsid w:val="03DA6915"/>
    <w:rsid w:val="03E60C72"/>
    <w:rsid w:val="04144F59"/>
    <w:rsid w:val="04156C27"/>
    <w:rsid w:val="042221BB"/>
    <w:rsid w:val="042B1DF5"/>
    <w:rsid w:val="043D2559"/>
    <w:rsid w:val="044259F2"/>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864E1F"/>
    <w:rsid w:val="08AD5856"/>
    <w:rsid w:val="08C13553"/>
    <w:rsid w:val="08C3786B"/>
    <w:rsid w:val="08C71DC3"/>
    <w:rsid w:val="08CA745A"/>
    <w:rsid w:val="08D538D0"/>
    <w:rsid w:val="08E37BAD"/>
    <w:rsid w:val="08EE2ED2"/>
    <w:rsid w:val="08F869E1"/>
    <w:rsid w:val="08FB28C9"/>
    <w:rsid w:val="090F5236"/>
    <w:rsid w:val="091C67AE"/>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C0C5682"/>
    <w:rsid w:val="0C1D57F9"/>
    <w:rsid w:val="0C5640FE"/>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3DAA"/>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E86B2A"/>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1F1B0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30214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AC426F"/>
    <w:rsid w:val="18D76F2C"/>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7E2ECF"/>
    <w:rsid w:val="1C905109"/>
    <w:rsid w:val="1CA53FA1"/>
    <w:rsid w:val="1CAA0F65"/>
    <w:rsid w:val="1CAD4CCB"/>
    <w:rsid w:val="1CAF7573"/>
    <w:rsid w:val="1CC544F9"/>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26F9E"/>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C7149"/>
    <w:rsid w:val="200E58BD"/>
    <w:rsid w:val="2041466C"/>
    <w:rsid w:val="20496BB2"/>
    <w:rsid w:val="204C064C"/>
    <w:rsid w:val="205164A7"/>
    <w:rsid w:val="2061396C"/>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0100E"/>
    <w:rsid w:val="25324A24"/>
    <w:rsid w:val="25560FB4"/>
    <w:rsid w:val="255B68D6"/>
    <w:rsid w:val="256271F2"/>
    <w:rsid w:val="256E3452"/>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3825"/>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150B0"/>
    <w:rsid w:val="29C74C47"/>
    <w:rsid w:val="29CD4516"/>
    <w:rsid w:val="29D64532"/>
    <w:rsid w:val="29DA7956"/>
    <w:rsid w:val="29E94589"/>
    <w:rsid w:val="2A155F81"/>
    <w:rsid w:val="2A1E2DE0"/>
    <w:rsid w:val="2A250847"/>
    <w:rsid w:val="2A2B222C"/>
    <w:rsid w:val="2A331695"/>
    <w:rsid w:val="2A3A1812"/>
    <w:rsid w:val="2A442E66"/>
    <w:rsid w:val="2A4A1ED4"/>
    <w:rsid w:val="2A4C79F4"/>
    <w:rsid w:val="2A553548"/>
    <w:rsid w:val="2A7049D1"/>
    <w:rsid w:val="2A7D78B2"/>
    <w:rsid w:val="2A970008"/>
    <w:rsid w:val="2AA60E99"/>
    <w:rsid w:val="2AAA4628"/>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EA643F"/>
    <w:rsid w:val="2E000AC6"/>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06013"/>
    <w:rsid w:val="2EE13DEB"/>
    <w:rsid w:val="2EEA1087"/>
    <w:rsid w:val="2EEF5B78"/>
    <w:rsid w:val="2EF90C24"/>
    <w:rsid w:val="2EFB3516"/>
    <w:rsid w:val="2EFD4FC3"/>
    <w:rsid w:val="2F0E5D72"/>
    <w:rsid w:val="2F235269"/>
    <w:rsid w:val="2F322289"/>
    <w:rsid w:val="2F3770E3"/>
    <w:rsid w:val="2F3B09F8"/>
    <w:rsid w:val="2F413C94"/>
    <w:rsid w:val="2F494297"/>
    <w:rsid w:val="2F4B1C2D"/>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94465"/>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170067"/>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B05B0"/>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0628B"/>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842C33"/>
    <w:rsid w:val="3B8E2DEE"/>
    <w:rsid w:val="3B920EC0"/>
    <w:rsid w:val="3B924465"/>
    <w:rsid w:val="3B9C5361"/>
    <w:rsid w:val="3BA53541"/>
    <w:rsid w:val="3BA94452"/>
    <w:rsid w:val="3BFC0B7A"/>
    <w:rsid w:val="3C031B6A"/>
    <w:rsid w:val="3C1A13D5"/>
    <w:rsid w:val="3C1F3CDD"/>
    <w:rsid w:val="3C3318F7"/>
    <w:rsid w:val="3C4A7007"/>
    <w:rsid w:val="3C4C779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4F6663E"/>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696159"/>
    <w:rsid w:val="467847A0"/>
    <w:rsid w:val="467D17CB"/>
    <w:rsid w:val="46830DA3"/>
    <w:rsid w:val="4697740A"/>
    <w:rsid w:val="46C6208F"/>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53345A"/>
    <w:rsid w:val="485A127C"/>
    <w:rsid w:val="48622F87"/>
    <w:rsid w:val="48782922"/>
    <w:rsid w:val="48845C84"/>
    <w:rsid w:val="48914098"/>
    <w:rsid w:val="48973F32"/>
    <w:rsid w:val="489B4D1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DD7EFB"/>
    <w:rsid w:val="49E077A2"/>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B043A7"/>
    <w:rsid w:val="4AC15779"/>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C05ECF"/>
    <w:rsid w:val="4BD05051"/>
    <w:rsid w:val="4BD505B4"/>
    <w:rsid w:val="4BE44723"/>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9366C"/>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974D24"/>
    <w:rsid w:val="4FA1011C"/>
    <w:rsid w:val="4FA5289F"/>
    <w:rsid w:val="4FAA4536"/>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041EDF"/>
    <w:rsid w:val="511836CB"/>
    <w:rsid w:val="51235C08"/>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047AB"/>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050C83"/>
    <w:rsid w:val="57055BD6"/>
    <w:rsid w:val="57213FE5"/>
    <w:rsid w:val="572D67AB"/>
    <w:rsid w:val="573F708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E640F"/>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C61854"/>
    <w:rsid w:val="59E6424E"/>
    <w:rsid w:val="59E81791"/>
    <w:rsid w:val="59F6397D"/>
    <w:rsid w:val="59FB6BE2"/>
    <w:rsid w:val="5A026E4D"/>
    <w:rsid w:val="5A06033D"/>
    <w:rsid w:val="5A0E79AC"/>
    <w:rsid w:val="5A0F0265"/>
    <w:rsid w:val="5A123B05"/>
    <w:rsid w:val="5A142254"/>
    <w:rsid w:val="5A3773BC"/>
    <w:rsid w:val="5A496BD5"/>
    <w:rsid w:val="5A4B2EA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260C2"/>
    <w:rsid w:val="5CE61EE8"/>
    <w:rsid w:val="5D0728CF"/>
    <w:rsid w:val="5D076132"/>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32B7E"/>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25175A"/>
    <w:rsid w:val="64337DBE"/>
    <w:rsid w:val="643F6D4B"/>
    <w:rsid w:val="64456269"/>
    <w:rsid w:val="64467B93"/>
    <w:rsid w:val="64511EDE"/>
    <w:rsid w:val="64630D1E"/>
    <w:rsid w:val="6478176D"/>
    <w:rsid w:val="64835CDD"/>
    <w:rsid w:val="6486251A"/>
    <w:rsid w:val="64AB2A66"/>
    <w:rsid w:val="64B7605C"/>
    <w:rsid w:val="64BD6580"/>
    <w:rsid w:val="64DA5521"/>
    <w:rsid w:val="64E1157B"/>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B72335"/>
    <w:rsid w:val="65C649BC"/>
    <w:rsid w:val="65E55EB8"/>
    <w:rsid w:val="65E73B66"/>
    <w:rsid w:val="66022F90"/>
    <w:rsid w:val="66044FCB"/>
    <w:rsid w:val="660514B3"/>
    <w:rsid w:val="66131984"/>
    <w:rsid w:val="66187135"/>
    <w:rsid w:val="661B7E76"/>
    <w:rsid w:val="662831A9"/>
    <w:rsid w:val="662C4F94"/>
    <w:rsid w:val="66313D38"/>
    <w:rsid w:val="663A7E7B"/>
    <w:rsid w:val="66452ADE"/>
    <w:rsid w:val="664A22D3"/>
    <w:rsid w:val="666C6F00"/>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1E710B"/>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12FAD"/>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0D148B"/>
    <w:rsid w:val="6B281153"/>
    <w:rsid w:val="6B4C3B26"/>
    <w:rsid w:val="6B6162D1"/>
    <w:rsid w:val="6B7747FD"/>
    <w:rsid w:val="6B8D6111"/>
    <w:rsid w:val="6B9C3AE5"/>
    <w:rsid w:val="6BA924EB"/>
    <w:rsid w:val="6BAA1445"/>
    <w:rsid w:val="6BB3693A"/>
    <w:rsid w:val="6BB3754C"/>
    <w:rsid w:val="6BC86908"/>
    <w:rsid w:val="6BCE245B"/>
    <w:rsid w:val="6BD44297"/>
    <w:rsid w:val="6BDB0A87"/>
    <w:rsid w:val="6BEB5350"/>
    <w:rsid w:val="6BEC49EE"/>
    <w:rsid w:val="6BEC7C68"/>
    <w:rsid w:val="6C0C287C"/>
    <w:rsid w:val="6C294501"/>
    <w:rsid w:val="6C39658E"/>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077F2"/>
    <w:rsid w:val="732716BC"/>
    <w:rsid w:val="7333450C"/>
    <w:rsid w:val="735344A6"/>
    <w:rsid w:val="735463E0"/>
    <w:rsid w:val="736816C1"/>
    <w:rsid w:val="737B0183"/>
    <w:rsid w:val="7381208C"/>
    <w:rsid w:val="73841927"/>
    <w:rsid w:val="738A7955"/>
    <w:rsid w:val="73A36DC3"/>
    <w:rsid w:val="73B33483"/>
    <w:rsid w:val="73DE4D67"/>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54996"/>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B93018"/>
    <w:rsid w:val="78CE534E"/>
    <w:rsid w:val="78D424A1"/>
    <w:rsid w:val="78ED42D2"/>
    <w:rsid w:val="78F76941"/>
    <w:rsid w:val="78F82ED4"/>
    <w:rsid w:val="790114CB"/>
    <w:rsid w:val="7925703F"/>
    <w:rsid w:val="7931755D"/>
    <w:rsid w:val="7932189D"/>
    <w:rsid w:val="793424DB"/>
    <w:rsid w:val="793F1836"/>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0125E3"/>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65827"/>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2C756E"/>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2025-02-07T08:12:09Z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